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36"/>
          <w:szCs w:val="36"/>
          <w:lang w:val="en-US" w:eastAsia="zh-CN"/>
        </w:rPr>
        <w:t>领导批示：</w:t>
      </w:r>
    </w:p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eastAsia="微软雅黑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</w:pPr>
    </w:p>
    <w:p>
      <w:pPr>
        <w:pStyle w:val="19"/>
        <w:snapToGrid/>
        <w:spacing w:before="0" w:beforeAutospacing="0" w:after="0" w:afterAutospacing="0" w:line="240" w:lineRule="auto"/>
        <w:ind w:left="480" w:leftChars="200" w:firstLine="480" w:firstLineChars="200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4"/>
        </w:rPr>
      </w:pPr>
    </w:p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0"/>
        </w:rPr>
      </w:pPr>
    </w:p>
    <w:p>
      <w:pPr>
        <w:keepLines w:val="0"/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0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4"/>
        </w:rPr>
        <w:drawing>
          <wp:inline distT="0" distB="0" distL="114300" distR="114300">
            <wp:extent cx="3954145" cy="1003935"/>
            <wp:effectExtent l="0" t="0" r="825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414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Lines w:val="0"/>
        <w:snapToGrid/>
        <w:spacing w:before="0" w:beforeAutospacing="0" w:after="0" w:afterAutospacing="0" w:line="560" w:lineRule="exact"/>
        <w:textAlignment w:val="baseline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0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4"/>
        </w:rPr>
        <w:t xml:space="preserve">   </w:t>
      </w:r>
    </w:p>
    <w:p>
      <w:pPr>
        <w:keepLines w:val="0"/>
        <w:snapToGrid/>
        <w:spacing w:before="0" w:beforeAutospacing="0" w:after="0" w:afterAutospacing="0" w:line="560" w:lineRule="exact"/>
        <w:jc w:val="center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每日汇报（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7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）</w:t>
      </w:r>
    </w:p>
    <w:p>
      <w:pPr>
        <w:keepLines w:val="0"/>
        <w:snapToGrid/>
        <w:spacing w:before="0" w:beforeAutospacing="0" w:after="0" w:afterAutospacing="0" w:line="560" w:lineRule="exact"/>
        <w:ind w:firstLine="320" w:firstLineChars="100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中共晋中市委办公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室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 xml:space="preserve">    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 xml:space="preserve">   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年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5" w:beforeAutospacing="0" w:after="0" w:afterAutospacing="0" w:line="560" w:lineRule="exact"/>
        <w:ind w:firstLine="0" w:firstLineChars="0"/>
        <w:jc w:val="both"/>
        <w:textAlignment w:val="baseline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5811520" cy="5080"/>
                <wp:effectExtent l="0" t="13970" r="10160" b="2667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2925445"/>
                          <a:ext cx="5811520" cy="508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.65pt;height:0.4pt;width:457.6pt;z-index:251660288;mso-width-relative:page;mso-height-relative:page;" filled="f" stroked="t" coordsize="21600,21600" o:gfxdata="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DhNx9E1gAAAAQBAAAPAAAAAAAAAAEAIAAA&#10;ADgAAABkcnMvZG93bnJldi54bWxQSwECFAAUAAAACACHTuJAbPuwjvgBAADAAwAADgAAAAAAAAAB&#10;ACAAAAA7AQAAZHJzL2Uyb0RvYy54bWxQSwUGAAAAAAYABgBZAQAApQUAAAAA&#10;">
                <v:fill on="f" focussize="0,0"/>
                <v:stroke weight="2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6"/>
          <w:sz w:val="44"/>
          <w:szCs w:val="44"/>
          <w:lang w:val="en-US" w:eastAsia="zh-CN"/>
        </w:rPr>
        <w:t>我市</w:t>
      </w:r>
      <w:r>
        <w:rPr>
          <w:rFonts w:hint="eastAsia" w:eastAsia="方正小标宋简体" w:cs="Times New Roman"/>
          <w:color w:val="auto"/>
          <w:spacing w:val="6"/>
          <w:sz w:val="44"/>
          <w:szCs w:val="44"/>
          <w:lang w:val="en-US" w:eastAsia="zh-CN"/>
        </w:rPr>
        <w:t>各地</w:t>
      </w:r>
      <w:r>
        <w:rPr>
          <w:rFonts w:hint="default" w:ascii="Times New Roman" w:hAnsi="Times New Roman" w:eastAsia="方正小标宋简体" w:cs="Times New Roman"/>
          <w:color w:val="auto"/>
          <w:spacing w:val="6"/>
          <w:sz w:val="44"/>
          <w:szCs w:val="44"/>
          <w:lang w:val="en-US" w:eastAsia="zh-CN"/>
        </w:rPr>
        <w:t>抢抓农时</w:t>
      </w:r>
      <w:r>
        <w:rPr>
          <w:rFonts w:hint="eastAsia" w:eastAsia="方正小标宋简体" w:cs="Times New Roman"/>
          <w:color w:val="auto"/>
          <w:spacing w:val="6"/>
          <w:sz w:val="44"/>
          <w:szCs w:val="44"/>
          <w:lang w:val="en-US" w:eastAsia="zh-CN"/>
        </w:rPr>
        <w:t>多措并举做好春耕生产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我市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各地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深入贯彻习近平总书记关于“三农”工作的重要论述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将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春耕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生产摆在突出位置，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抢抓春播农时，保障农资供应，加大服务指导，确保春耕春播工作有序推进。今年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全市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预计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春播面积420.5万亩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（与去</w:t>
      </w:r>
      <w:bookmarkStart w:id="0" w:name="_GoBack"/>
      <w:bookmarkEnd w:id="0"/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年持平）；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冬小麦播种面积10.06万亩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（同比增加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约2万亩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一二三类苗比例为38:47:15，一二类苗比常年增加3个百分点，苗情好于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年，为夏粮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丰产丰收打下坚实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基础。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一、农资储备到位，市场供应充足。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供销社发挥农资供应主力军作用，依托23个农资经营企业、234个农资经营网点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，建立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市县农资联动保供机制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每周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调度重点农资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购销情况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设立10个农资监测点，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研判物资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需求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，加强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价格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监测，提前采购调运，确保农资市场价稳货足；通过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建立农资销售微信群、举办农资订货会等方式，共销售肥料3.21万吨，农药264吨，农膜681吨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，基本满足春耕需求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榆次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区1700台大中型拖拉机和7000余台配套机具全部检修保养完毕，确保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50万亩机械化春耕和36万亩春浇灌溉正常进行。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同时，全市开展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“农产品质量保安全百日行动”，对种子、农药、肥料等重点品种进行安全排查，对发现问题严厉打击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，切实维护农民利益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政策支持到位，种粮意愿提升。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顶格落实耕地地力保护补贴、农机购置补贴等政策，目前全市下达地力补贴2.46亿元，下拨大豆玉米带状复合种植资金1400万元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小麦“一喷三防”资金20万元，争取农机购置补贴4546万元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带状复合种植任务县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基本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明确在上级资金基础上，县级每亩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配套100—300元。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寿阳县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加大对新型农业经营主体贴息贷款扶持，积极扶持农机换代，提高群众种植积极性。太谷区落实玉米、小麦等政策性保险，开发农作物成本保险，切实为农业生产提供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安全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保障。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据调查，全市农户和种粮主体积极性普遍较高，春播种植意向面积与上年持平略增。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三、气象保障到位，土壤墒情适宜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农业农村和气象部门建立信息共享、联合预警与会商机制，针对今春气候特点，进行联合会商3次，发布天气预警信息7次。霜冻、寒潮气象蓝色预警发布后，农业农村部门立即分作物、分区域指导农户落实防灾减灾措施，并召开水果春季预防冻害榆次现场会，有效应对晚霜“倒春寒”侵袭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4月2日至4日，市气象局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抓住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有利时机，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及时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组织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地面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联合人工增雨作业41次，全市平均降雨量30.7毫米，有效补充土壤水分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当前全市土壤墒情适宜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，能够满足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冬小麦拔节期生长和足墒春播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需求。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农技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指导到位，助农丰产增收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我市深入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推进“双包三联”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（“行政推进+技术服务”双承包责任制和专家团队、项目工队、营销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战队三支队伍联动）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进村入户服务，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县两级77名副高级以上专家下沉一线，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因地制宜推广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麦田保墒、果树田管、设施蔬菜标准化生产等农业技术，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就近解决农业生产难题。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榆次区156名农技人员采取小分队入户、新媒体平台推送、专家在线咨询等形式，开展线上线下全方位服务。市供销社依托基层社、惠农服务中心（站）、庄稼医院等综合服务平台，因地因墒加强技术指导，积极防范倒春寒、病虫害等灾害情况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，并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为农户提供测土配肥、统防统治、技术培训、代耕代种等多形式精准服务。灵石县上马配肥站项目，开展智能配肥服务1000多亩，每亩平均节省化肥投入20余元、增产10%左右。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（市委办信息科根据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市农业农村局、市气象局、市供销社、榆次区委、太谷区委、灵石县委、寿阳县委等报送信息整理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）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color w:val="auto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p>
      <w:pP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9" w:afterLines="25"/>
        <w:textAlignment w:val="auto"/>
        <w:rPr>
          <w:rFonts w:hint="default"/>
          <w:color w:val="auto"/>
          <w:lang w:val="en-US" w:eastAsia="zh-CN"/>
        </w:rPr>
      </w:pPr>
    </w:p>
    <w:tbl>
      <w:tblPr>
        <w:tblStyle w:val="15"/>
        <w:tblpPr w:leftFromText="180" w:rightFromText="180" w:vertAnchor="text" w:horzAnchor="page" w:tblpX="1422" w:tblpY="370"/>
        <w:tblOverlap w:val="never"/>
        <w:tblW w:w="91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132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主送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市委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市人大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  <w:t>常委会、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市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  <w:t>政府、市政协负责同志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</w:rPr>
              <w:t>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textAlignment w:val="baseline"/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  <w:t>抄送：</w:t>
            </w:r>
            <w:r>
              <w:rPr>
                <w:rFonts w:hint="default" w:ascii="Times New Roman" w:hAnsi="Times New Roman" w:eastAsia="楷体_GB2312" w:cs="Times New Roman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lang w:val="en-US" w:eastAsia="zh-CN" w:bidi="ar-SA"/>
              </w:rPr>
              <w:t>各县（区、市）党委、政府，市直相关单位。</w:t>
            </w:r>
          </w:p>
        </w:tc>
      </w:tr>
    </w:tbl>
    <w:p>
      <w:pPr>
        <w:pStyle w:val="9"/>
        <w:keepLines w:val="0"/>
        <w:widowControl w:val="0"/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2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如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有批示或需详情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，请与市委办公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室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信息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科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联系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电话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2636111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  <w:t xml:space="preserve">  </w:t>
      </w:r>
    </w:p>
    <w:sectPr>
      <w:footerReference r:id="rId3" w:type="default"/>
      <w:footerReference r:id="rId4" w:type="even"/>
      <w:pgSz w:w="11906" w:h="16838"/>
      <w:pgMar w:top="1531" w:right="1474" w:bottom="1644" w:left="1474" w:header="851" w:footer="147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Style w:val="17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7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7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7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Style w:val="17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Style w:val="17"/>
                        <w:sz w:val="28"/>
                        <w:szCs w:val="28"/>
                      </w:rPr>
                    </w:pPr>
                    <w:r>
                      <w:rPr>
                        <w:rStyle w:val="17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7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7"/>
                        <w:sz w:val="28"/>
                        <w:szCs w:val="28"/>
                      </w:rPr>
                      <w:t>- 1 -</w:t>
                    </w:r>
                    <w:r>
                      <w:rPr>
                        <w:rStyle w:val="17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10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NWUyM2I5YTcxYjEzYWUyZTNiY2E3OGEwY2UwY2MifQ=="/>
  </w:docVars>
  <w:rsids>
    <w:rsidRoot w:val="00000000"/>
    <w:rsid w:val="00C47CD3"/>
    <w:rsid w:val="00F804DB"/>
    <w:rsid w:val="01B14979"/>
    <w:rsid w:val="02D5020B"/>
    <w:rsid w:val="03E73E51"/>
    <w:rsid w:val="041D2F99"/>
    <w:rsid w:val="04F85318"/>
    <w:rsid w:val="051A3018"/>
    <w:rsid w:val="05366285"/>
    <w:rsid w:val="05F349E3"/>
    <w:rsid w:val="07B56B07"/>
    <w:rsid w:val="09DE2774"/>
    <w:rsid w:val="0A687204"/>
    <w:rsid w:val="0AAC5E01"/>
    <w:rsid w:val="0AD96AE1"/>
    <w:rsid w:val="0B3005A5"/>
    <w:rsid w:val="0C786C2D"/>
    <w:rsid w:val="0F105EA4"/>
    <w:rsid w:val="0FFC2BF4"/>
    <w:rsid w:val="10190723"/>
    <w:rsid w:val="10266472"/>
    <w:rsid w:val="11982DA4"/>
    <w:rsid w:val="11A54F74"/>
    <w:rsid w:val="12225EF2"/>
    <w:rsid w:val="12624C93"/>
    <w:rsid w:val="12CA680F"/>
    <w:rsid w:val="1348346B"/>
    <w:rsid w:val="14A907DF"/>
    <w:rsid w:val="15804773"/>
    <w:rsid w:val="17801800"/>
    <w:rsid w:val="17C007A4"/>
    <w:rsid w:val="17ED5651"/>
    <w:rsid w:val="18B01A1E"/>
    <w:rsid w:val="19DA1B91"/>
    <w:rsid w:val="19FF3B81"/>
    <w:rsid w:val="1A4509A4"/>
    <w:rsid w:val="1AF813E1"/>
    <w:rsid w:val="1B7F5B71"/>
    <w:rsid w:val="1C2A2574"/>
    <w:rsid w:val="1D1903DA"/>
    <w:rsid w:val="1D250E2C"/>
    <w:rsid w:val="1DCFF910"/>
    <w:rsid w:val="1DEA0C55"/>
    <w:rsid w:val="1EC3621A"/>
    <w:rsid w:val="1ED95A19"/>
    <w:rsid w:val="1F031AC3"/>
    <w:rsid w:val="1F7D4DF5"/>
    <w:rsid w:val="1FD52843"/>
    <w:rsid w:val="22904BE5"/>
    <w:rsid w:val="22C86901"/>
    <w:rsid w:val="23294C8E"/>
    <w:rsid w:val="23B3532D"/>
    <w:rsid w:val="257F168B"/>
    <w:rsid w:val="280A1975"/>
    <w:rsid w:val="287908BB"/>
    <w:rsid w:val="291D0348"/>
    <w:rsid w:val="29786708"/>
    <w:rsid w:val="2AC50A6D"/>
    <w:rsid w:val="2AEF5BFD"/>
    <w:rsid w:val="2B181882"/>
    <w:rsid w:val="2BA34008"/>
    <w:rsid w:val="2BFFC506"/>
    <w:rsid w:val="2C960861"/>
    <w:rsid w:val="2DC44077"/>
    <w:rsid w:val="2E63015A"/>
    <w:rsid w:val="2ECC6557"/>
    <w:rsid w:val="2FDA35C2"/>
    <w:rsid w:val="2FFF1E8B"/>
    <w:rsid w:val="3189579C"/>
    <w:rsid w:val="31F6FDE2"/>
    <w:rsid w:val="32FC1F5E"/>
    <w:rsid w:val="330F1DB4"/>
    <w:rsid w:val="353256AD"/>
    <w:rsid w:val="36845ECA"/>
    <w:rsid w:val="368F6663"/>
    <w:rsid w:val="37AD4417"/>
    <w:rsid w:val="37FF4C3E"/>
    <w:rsid w:val="38217FC6"/>
    <w:rsid w:val="3835611D"/>
    <w:rsid w:val="3B5614D1"/>
    <w:rsid w:val="3C486ECB"/>
    <w:rsid w:val="3C5A4725"/>
    <w:rsid w:val="3DBFDC3E"/>
    <w:rsid w:val="3E1C3418"/>
    <w:rsid w:val="3E1F6CFF"/>
    <w:rsid w:val="3EFC5A99"/>
    <w:rsid w:val="3F403536"/>
    <w:rsid w:val="3F6C60C7"/>
    <w:rsid w:val="3F77DB3A"/>
    <w:rsid w:val="3FCF8749"/>
    <w:rsid w:val="3FEE1E4E"/>
    <w:rsid w:val="3FFA9EC0"/>
    <w:rsid w:val="40933232"/>
    <w:rsid w:val="43A70C1F"/>
    <w:rsid w:val="443B15D8"/>
    <w:rsid w:val="44AE2064"/>
    <w:rsid w:val="44FF74F6"/>
    <w:rsid w:val="450B6AED"/>
    <w:rsid w:val="45870653"/>
    <w:rsid w:val="45C60259"/>
    <w:rsid w:val="46570948"/>
    <w:rsid w:val="47DD76FD"/>
    <w:rsid w:val="48BB25F4"/>
    <w:rsid w:val="49020354"/>
    <w:rsid w:val="4A5A1924"/>
    <w:rsid w:val="4BAD0591"/>
    <w:rsid w:val="4BE03AFF"/>
    <w:rsid w:val="4C172A0E"/>
    <w:rsid w:val="4CB80854"/>
    <w:rsid w:val="4EDA57EF"/>
    <w:rsid w:val="4F35D763"/>
    <w:rsid w:val="4F3B20AB"/>
    <w:rsid w:val="4F763F2F"/>
    <w:rsid w:val="4F957423"/>
    <w:rsid w:val="4FC67D91"/>
    <w:rsid w:val="4FF73E7E"/>
    <w:rsid w:val="50BF10B6"/>
    <w:rsid w:val="52AA1B22"/>
    <w:rsid w:val="530D036B"/>
    <w:rsid w:val="5371FF7F"/>
    <w:rsid w:val="539762C6"/>
    <w:rsid w:val="53D58163"/>
    <w:rsid w:val="54895DAF"/>
    <w:rsid w:val="558972E2"/>
    <w:rsid w:val="55BE76A9"/>
    <w:rsid w:val="55BFF87C"/>
    <w:rsid w:val="56BF8F43"/>
    <w:rsid w:val="56FF34DE"/>
    <w:rsid w:val="572D5B7E"/>
    <w:rsid w:val="575A5B8D"/>
    <w:rsid w:val="57C96ABC"/>
    <w:rsid w:val="57DFE87F"/>
    <w:rsid w:val="57FFF76B"/>
    <w:rsid w:val="59947910"/>
    <w:rsid w:val="5BBED6BE"/>
    <w:rsid w:val="5BF95616"/>
    <w:rsid w:val="5CBF7C55"/>
    <w:rsid w:val="5D333A9C"/>
    <w:rsid w:val="5DF7EE17"/>
    <w:rsid w:val="5DFD19D7"/>
    <w:rsid w:val="5E3A0040"/>
    <w:rsid w:val="5F972B4E"/>
    <w:rsid w:val="5FFE2688"/>
    <w:rsid w:val="5FFF66AA"/>
    <w:rsid w:val="60313FD2"/>
    <w:rsid w:val="61FF6209"/>
    <w:rsid w:val="64DE3E9D"/>
    <w:rsid w:val="64F7B9DF"/>
    <w:rsid w:val="65A7470F"/>
    <w:rsid w:val="65E62561"/>
    <w:rsid w:val="663F3DDB"/>
    <w:rsid w:val="67F62AD1"/>
    <w:rsid w:val="68135D15"/>
    <w:rsid w:val="6AE16BED"/>
    <w:rsid w:val="6B220F8A"/>
    <w:rsid w:val="6BD15A2B"/>
    <w:rsid w:val="6C110E25"/>
    <w:rsid w:val="6CCE046D"/>
    <w:rsid w:val="6CEF1140"/>
    <w:rsid w:val="6D3011F7"/>
    <w:rsid w:val="6DFB2AFF"/>
    <w:rsid w:val="6E0E6F4B"/>
    <w:rsid w:val="6E9F7180"/>
    <w:rsid w:val="6EB5522D"/>
    <w:rsid w:val="6EBDAA83"/>
    <w:rsid w:val="6F1E3F13"/>
    <w:rsid w:val="6F4A4EF7"/>
    <w:rsid w:val="6F5D99F6"/>
    <w:rsid w:val="6F677E83"/>
    <w:rsid w:val="6F9DF693"/>
    <w:rsid w:val="6FFDD714"/>
    <w:rsid w:val="6FFF1495"/>
    <w:rsid w:val="6FFF8A6C"/>
    <w:rsid w:val="70250C23"/>
    <w:rsid w:val="70B34BCA"/>
    <w:rsid w:val="70F93A12"/>
    <w:rsid w:val="71830063"/>
    <w:rsid w:val="71CA6A06"/>
    <w:rsid w:val="71DB429C"/>
    <w:rsid w:val="71FCE45B"/>
    <w:rsid w:val="724B3E08"/>
    <w:rsid w:val="726676BB"/>
    <w:rsid w:val="72F8BF7E"/>
    <w:rsid w:val="733B48C8"/>
    <w:rsid w:val="735F2EF4"/>
    <w:rsid w:val="73F584E0"/>
    <w:rsid w:val="73FB71C7"/>
    <w:rsid w:val="74B22737"/>
    <w:rsid w:val="74FD8A79"/>
    <w:rsid w:val="75082706"/>
    <w:rsid w:val="75AF6FBF"/>
    <w:rsid w:val="76956DE3"/>
    <w:rsid w:val="76B89819"/>
    <w:rsid w:val="76EF04CE"/>
    <w:rsid w:val="76FF3FDA"/>
    <w:rsid w:val="77D124A9"/>
    <w:rsid w:val="77DD58D4"/>
    <w:rsid w:val="77EE7045"/>
    <w:rsid w:val="77FF784F"/>
    <w:rsid w:val="78023CDC"/>
    <w:rsid w:val="786BA8DC"/>
    <w:rsid w:val="78F22A35"/>
    <w:rsid w:val="78FC5F31"/>
    <w:rsid w:val="79FF3494"/>
    <w:rsid w:val="79FF9AEC"/>
    <w:rsid w:val="7A7DE70C"/>
    <w:rsid w:val="7AC22C94"/>
    <w:rsid w:val="7ADB6915"/>
    <w:rsid w:val="7ADD67E8"/>
    <w:rsid w:val="7B4C081B"/>
    <w:rsid w:val="7BAA5026"/>
    <w:rsid w:val="7BD32C3A"/>
    <w:rsid w:val="7BDF49E7"/>
    <w:rsid w:val="7BFDC313"/>
    <w:rsid w:val="7CF78EF5"/>
    <w:rsid w:val="7D7D6B04"/>
    <w:rsid w:val="7DCA0E63"/>
    <w:rsid w:val="7DE488EA"/>
    <w:rsid w:val="7DFBC2B5"/>
    <w:rsid w:val="7E6F5B4F"/>
    <w:rsid w:val="7EA5003F"/>
    <w:rsid w:val="7EA5E5B3"/>
    <w:rsid w:val="7F3EFD19"/>
    <w:rsid w:val="7FBFEE50"/>
    <w:rsid w:val="7FDE974F"/>
    <w:rsid w:val="7FEF9A3A"/>
    <w:rsid w:val="7FF700ED"/>
    <w:rsid w:val="8966F671"/>
    <w:rsid w:val="8B936500"/>
    <w:rsid w:val="96B86BAB"/>
    <w:rsid w:val="97AFE9E7"/>
    <w:rsid w:val="9D1F7231"/>
    <w:rsid w:val="A6B4BBE3"/>
    <w:rsid w:val="A6FA1A91"/>
    <w:rsid w:val="A7FDB23A"/>
    <w:rsid w:val="ABFBE59D"/>
    <w:rsid w:val="AE7DC957"/>
    <w:rsid w:val="AEBFE4D6"/>
    <w:rsid w:val="B1AF63F1"/>
    <w:rsid w:val="B3FF3964"/>
    <w:rsid w:val="B5FF4D0D"/>
    <w:rsid w:val="B7FF2F96"/>
    <w:rsid w:val="B95F05C2"/>
    <w:rsid w:val="B9D73244"/>
    <w:rsid w:val="BBF7104F"/>
    <w:rsid w:val="BDCFDCD9"/>
    <w:rsid w:val="BDEF96AD"/>
    <w:rsid w:val="BE3FAF37"/>
    <w:rsid w:val="BF787E2D"/>
    <w:rsid w:val="BFDF16B3"/>
    <w:rsid w:val="C3EFC3FB"/>
    <w:rsid w:val="C78FC0B4"/>
    <w:rsid w:val="C7CF9D21"/>
    <w:rsid w:val="CEBD1617"/>
    <w:rsid w:val="CF6FF509"/>
    <w:rsid w:val="CFDF4FAF"/>
    <w:rsid w:val="CFF7FFB7"/>
    <w:rsid w:val="D27529DD"/>
    <w:rsid w:val="D5EE99B6"/>
    <w:rsid w:val="D76B43A6"/>
    <w:rsid w:val="D7B6F525"/>
    <w:rsid w:val="D7EE95B4"/>
    <w:rsid w:val="D7FAE1B9"/>
    <w:rsid w:val="DB77FF13"/>
    <w:rsid w:val="DD7FD526"/>
    <w:rsid w:val="DE7F53DF"/>
    <w:rsid w:val="DECE51B0"/>
    <w:rsid w:val="DEF4D0FF"/>
    <w:rsid w:val="DF3F4844"/>
    <w:rsid w:val="DFF728DF"/>
    <w:rsid w:val="E5FFD554"/>
    <w:rsid w:val="E7BB542B"/>
    <w:rsid w:val="E7F54EF2"/>
    <w:rsid w:val="E9BC1D4F"/>
    <w:rsid w:val="EC0F7B0B"/>
    <w:rsid w:val="EDFAC7E9"/>
    <w:rsid w:val="EED920AA"/>
    <w:rsid w:val="EFB7188B"/>
    <w:rsid w:val="EFB883DC"/>
    <w:rsid w:val="F1EBD987"/>
    <w:rsid w:val="F2DFF80E"/>
    <w:rsid w:val="F65D768E"/>
    <w:rsid w:val="F6F48C58"/>
    <w:rsid w:val="F73F61A0"/>
    <w:rsid w:val="F757F5C0"/>
    <w:rsid w:val="F7769769"/>
    <w:rsid w:val="F7DF0818"/>
    <w:rsid w:val="F953822D"/>
    <w:rsid w:val="F95BA238"/>
    <w:rsid w:val="F9FDD5E1"/>
    <w:rsid w:val="FA578E2F"/>
    <w:rsid w:val="FB33D629"/>
    <w:rsid w:val="FB7FBC08"/>
    <w:rsid w:val="FBEF2838"/>
    <w:rsid w:val="FBFF746C"/>
    <w:rsid w:val="FD9D8D93"/>
    <w:rsid w:val="FD9E671E"/>
    <w:rsid w:val="FDB22B25"/>
    <w:rsid w:val="FDF7EC1F"/>
    <w:rsid w:val="FDFD8859"/>
    <w:rsid w:val="FECE2461"/>
    <w:rsid w:val="FEEF9A77"/>
    <w:rsid w:val="FF1FE780"/>
    <w:rsid w:val="FF3764D0"/>
    <w:rsid w:val="FF5AF985"/>
    <w:rsid w:val="FFCF7B40"/>
    <w:rsid w:val="FFDD9BE0"/>
    <w:rsid w:val="FFF1B5DC"/>
    <w:rsid w:val="FFF3B72A"/>
    <w:rsid w:val="FFF999A4"/>
    <w:rsid w:val="FF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99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paragraph" w:styleId="4">
    <w:name w:val="table of authorities"/>
    <w:basedOn w:val="1"/>
    <w:next w:val="1"/>
    <w:semiHidden/>
    <w:qFormat/>
    <w:uiPriority w:val="99"/>
    <w:pPr>
      <w:ind w:left="420" w:leftChars="200"/>
    </w:pPr>
    <w:rPr>
      <w:sz w:val="32"/>
      <w:szCs w:val="32"/>
    </w:rPr>
  </w:style>
  <w:style w:type="paragraph" w:styleId="5">
    <w:name w:val="Note Heading"/>
    <w:basedOn w:val="1"/>
    <w:next w:val="1"/>
    <w:qFormat/>
    <w:uiPriority w:val="99"/>
    <w:pPr>
      <w:jc w:val="center"/>
    </w:pPr>
  </w:style>
  <w:style w:type="paragraph" w:styleId="6">
    <w:name w:val="caption"/>
    <w:basedOn w:val="1"/>
    <w:next w:val="1"/>
    <w:unhideWhenUsed/>
    <w:qFormat/>
    <w:uiPriority w:val="0"/>
    <w:rPr>
      <w:rFonts w:ascii="Cambria" w:hAnsi="Cambria" w:eastAsia="黑体"/>
      <w:kern w:val="2"/>
      <w:sz w:val="20"/>
      <w:szCs w:val="24"/>
    </w:rPr>
  </w:style>
  <w:style w:type="paragraph" w:styleId="7">
    <w:name w:val="Body Text"/>
    <w:basedOn w:val="1"/>
    <w:next w:val="8"/>
    <w:qFormat/>
    <w:uiPriority w:val="0"/>
    <w:rPr>
      <w:rFonts w:eastAsia="仿宋_GB2312"/>
      <w:sz w:val="32"/>
    </w:rPr>
  </w:style>
  <w:style w:type="paragraph" w:styleId="8">
    <w:name w:val="Body Text Indent 2"/>
    <w:basedOn w:val="1"/>
    <w:next w:val="9"/>
    <w:qFormat/>
    <w:uiPriority w:val="0"/>
    <w:pPr>
      <w:spacing w:after="120" w:line="480" w:lineRule="auto"/>
      <w:ind w:left="420" w:leftChars="200"/>
    </w:pPr>
  </w:style>
  <w:style w:type="paragraph" w:styleId="9">
    <w:name w:val="Normal (Web)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2">
    <w:name w:val="toc 2"/>
    <w:basedOn w:val="1"/>
    <w:next w:val="1"/>
    <w:qFormat/>
    <w:uiPriority w:val="0"/>
    <w:pPr>
      <w:ind w:left="420" w:leftChars="200"/>
    </w:pPr>
  </w:style>
  <w:style w:type="paragraph" w:styleId="1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4">
    <w:name w:val="Title"/>
    <w:basedOn w:val="1"/>
    <w:next w:val="1"/>
    <w:qFormat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character" w:styleId="17">
    <w:name w:val="page number"/>
    <w:basedOn w:val="16"/>
    <w:qFormat/>
    <w:uiPriority w:val="0"/>
    <w:rPr>
      <w:rFonts w:cs="Times New Roman"/>
    </w:rPr>
  </w:style>
  <w:style w:type="character" w:styleId="18">
    <w:name w:val="Emphasis"/>
    <w:basedOn w:val="16"/>
    <w:qFormat/>
    <w:uiPriority w:val="0"/>
  </w:style>
  <w:style w:type="paragraph" w:customStyle="1" w:styleId="19">
    <w:name w:val="正文首行缩进 21"/>
    <w:basedOn w:val="20"/>
    <w:next w:val="9"/>
    <w:qFormat/>
    <w:uiPriority w:val="0"/>
    <w:pPr>
      <w:ind w:firstLine="200" w:firstLineChars="200"/>
    </w:pPr>
  </w:style>
  <w:style w:type="paragraph" w:customStyle="1" w:styleId="20">
    <w:name w:val="正文文本缩进1"/>
    <w:basedOn w:val="1"/>
    <w:next w:val="1"/>
    <w:qFormat/>
    <w:uiPriority w:val="0"/>
    <w:pPr>
      <w:spacing w:after="120" w:afterLines="0" w:afterAutospacing="0"/>
      <w:ind w:left="200" w:leftChars="200"/>
    </w:pPr>
  </w:style>
  <w:style w:type="character" w:customStyle="1" w:styleId="21">
    <w:name w:val="15"/>
    <w:basedOn w:val="16"/>
    <w:qFormat/>
    <w:uiPriority w:val="0"/>
    <w:rPr>
      <w:rFonts w:hint="default" w:ascii="Times New Roman" w:hAnsi="Times New Roman" w:cs="Times New Roman"/>
    </w:rPr>
  </w:style>
  <w:style w:type="character" w:customStyle="1" w:styleId="22">
    <w:name w:val="10"/>
    <w:basedOn w:val="16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1832</Words>
  <Characters>1878</Characters>
  <Lines>1</Lines>
  <Paragraphs>1</Paragraphs>
  <TotalTime>4</TotalTime>
  <ScaleCrop>false</ScaleCrop>
  <LinksUpToDate>false</LinksUpToDate>
  <CharactersWithSpaces>1910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2014-11-23T04:08:00Z</dcterms:created>
  <dc:creator>Administrator</dc:creator>
  <cp:lastModifiedBy>baixin</cp:lastModifiedBy>
  <cp:lastPrinted>2023-04-12T12:50:00Z</cp:lastPrinted>
  <dcterms:modified xsi:type="dcterms:W3CDTF">2023-04-18T08:29:06Z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4E6A7E482FE944068DB5200C5D1DAB6E</vt:lpwstr>
  </property>
</Properties>
</file>