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188</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w w:val="100"/>
          <w:sz w:val="44"/>
          <w:szCs w:val="44"/>
          <w:lang w:val="en-US" w:eastAsia="zh-CN"/>
        </w:rPr>
        <w:t>灵石</w:t>
      </w:r>
      <w:r>
        <w:rPr>
          <w:rFonts w:hint="default" w:ascii="方正小标宋简体" w:hAnsi="方正小标宋简体" w:eastAsia="方正小标宋简体" w:cs="方正小标宋简体"/>
          <w:w w:val="100"/>
          <w:sz w:val="44"/>
          <w:szCs w:val="44"/>
          <w:lang w:val="en-US" w:eastAsia="zh-CN"/>
        </w:rPr>
        <w:t>县</w:t>
      </w:r>
      <w:r>
        <w:rPr>
          <w:rFonts w:hint="eastAsia" w:ascii="方正小标宋简体" w:hAnsi="方正小标宋简体" w:eastAsia="方正小标宋简体" w:cs="方正小标宋简体"/>
          <w:sz w:val="44"/>
          <w:szCs w:val="44"/>
          <w:lang w:eastAsia="zh-CN"/>
        </w:rPr>
        <w:t>凝心聚力</w:t>
      </w:r>
      <w:r>
        <w:rPr>
          <w:rFonts w:hint="eastAsia" w:ascii="方正小标宋简体" w:hAnsi="方正小标宋简体" w:eastAsia="方正小标宋简体" w:cs="方正小标宋简体"/>
          <w:sz w:val="44"/>
          <w:szCs w:val="44"/>
          <w:lang w:val="en-US" w:eastAsia="zh-CN"/>
        </w:rPr>
        <w:t>打造腐植酸产业专业镇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color w:val="auto"/>
          <w:kern w:val="2"/>
          <w:sz w:val="32"/>
          <w:szCs w:val="32"/>
          <w:u w:val="none"/>
          <w:shd w:val="clear" w:color="auto" w:fill="auto"/>
          <w:lang w:val="en-US" w:eastAsia="zh-CN" w:bidi="ar-SA"/>
        </w:rPr>
      </w:pPr>
      <w:r>
        <w:rPr>
          <w:rFonts w:hint="eastAsia" w:ascii="仿宋_GB2312" w:hAnsi="仿宋_GB2312" w:eastAsia="仿宋_GB2312" w:cs="仿宋_GB2312"/>
          <w:b w:val="0"/>
          <w:bCs w:val="0"/>
          <w:sz w:val="32"/>
          <w:szCs w:val="32"/>
          <w:lang w:val="en-US" w:eastAsia="zh-CN"/>
        </w:rPr>
        <w:t>灵石县</w:t>
      </w:r>
      <w:r>
        <w:rPr>
          <w:rFonts w:hint="eastAsia" w:ascii="仿宋_GB2312" w:hAnsi="仿宋_GB2312" w:eastAsia="仿宋_GB2312" w:cs="仿宋_GB2312"/>
          <w:i w:val="0"/>
          <w:caps w:val="0"/>
          <w:color w:val="000000"/>
          <w:spacing w:val="0"/>
          <w:sz w:val="32"/>
          <w:szCs w:val="32"/>
          <w:u w:val="none"/>
        </w:rPr>
        <w:t>一直有“中国腐植酸看山西，山西腐植酸看灵石”的美誉，是全国腐植酸四大主产地之一</w:t>
      </w:r>
      <w:r>
        <w:rPr>
          <w:rFonts w:hint="eastAsia" w:ascii="仿宋_GB2312" w:hAnsi="仿宋_GB2312" w:eastAsia="仿宋_GB2312" w:cs="仿宋_GB2312"/>
          <w:i w:val="0"/>
          <w:caps w:val="0"/>
          <w:color w:val="000000"/>
          <w:spacing w:val="0"/>
          <w:sz w:val="32"/>
          <w:szCs w:val="32"/>
          <w:u w:val="none"/>
          <w:lang w:eastAsia="zh-CN"/>
        </w:rPr>
        <w:t>。今年以来，县委县政府</w:t>
      </w:r>
      <w:r>
        <w:rPr>
          <w:rFonts w:hint="eastAsia" w:ascii="仿宋_GB2312" w:hAnsi="仿宋_GB2312" w:eastAsia="仿宋_GB2312" w:cs="仿宋_GB2312"/>
          <w:i w:val="0"/>
          <w:caps w:val="0"/>
          <w:color w:val="000000"/>
          <w:spacing w:val="0"/>
          <w:sz w:val="32"/>
          <w:szCs w:val="32"/>
          <w:u w:val="none"/>
        </w:rPr>
        <w:t>紧抓省、市大力</w:t>
      </w:r>
      <w:r>
        <w:rPr>
          <w:rFonts w:hint="eastAsia" w:ascii="Times New Roman" w:hAnsi="Times New Roman" w:eastAsia="仿宋_GB2312" w:cs="Times New Roman"/>
          <w:b w:val="0"/>
          <w:bCs w:val="0"/>
          <w:color w:val="000000"/>
          <w:kern w:val="2"/>
          <w:sz w:val="32"/>
          <w:szCs w:val="32"/>
          <w:lang w:val="en-US" w:eastAsia="zh-CN" w:bidi="ar-SA"/>
        </w:rPr>
        <w:t>支持特色专业镇发展的重大机遇，立足实际，锻长板、扬优势，成功入选首批市级专业镇。目前，全县已集聚腐植酸企业51户，拥有各类专利41项，3户企业成为中国腐植酸工业协会常务理事单位，参与6个全国性团体标准和3个地方标准制定，形成以黄腐酸钠、腐植酸钠和腐植酸钾为主导，腐植酸有机肥、石油助剂等一系列产品，黄腐酸钾国内市场占有率达60%，产品远销南非、菲律宾、印度等10余个国家和地区。截至2023年8月底，灵石县腐植酸企业生产产值达6.7亿元，较去年同期增长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加强组织领导。</w:t>
      </w:r>
      <w:r>
        <w:rPr>
          <w:rFonts w:hint="eastAsia" w:ascii="CESI仿宋-GB2312" w:hAnsi="CESI仿宋-GB2312" w:eastAsia="CESI仿宋-GB2312" w:cs="CESI仿宋-GB2312"/>
          <w:sz w:val="32"/>
          <w:szCs w:val="32"/>
        </w:rPr>
        <w:t>成立县专业镇发展领导小组，由县政府主要领导担任组长，政府分管领导担任副组长，加强对全县专业镇建设的统筹协调和宏观指导。领导小组办公室设在县工信局，领导小组各成员单位根据工作职能，强化配合联动，会商解决问题，高效推进各项工作取得实效。</w:t>
      </w:r>
      <w:r>
        <w:rPr>
          <w:rFonts w:hint="eastAsia" w:ascii="仿宋_GB2312" w:hAnsi="仿宋_GB2312" w:eastAsia="仿宋_GB2312" w:cs="仿宋_GB2312"/>
          <w:color w:val="000000" w:themeColor="text1"/>
          <w:sz w:val="32"/>
          <w:szCs w:val="32"/>
          <w:lang w:eastAsia="zh-CN"/>
          <w14:textFill>
            <w14:solidFill>
              <w14:schemeClr w14:val="tx1"/>
            </w14:solidFill>
          </w14:textFill>
        </w:rPr>
        <w:t>成立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了全国第一家区域性</w:t>
      </w:r>
      <w:r>
        <w:rPr>
          <w:rFonts w:hint="eastAsia" w:ascii="仿宋_GB2312" w:hAnsi="仿宋_GB2312" w:eastAsia="仿宋_GB2312" w:cs="仿宋_GB2312"/>
          <w:color w:val="000000" w:themeColor="text1"/>
          <w:sz w:val="32"/>
          <w:szCs w:val="32"/>
          <w:lang w:eastAsia="zh-CN"/>
          <w14:textFill>
            <w14:solidFill>
              <w14:schemeClr w14:val="tx1"/>
            </w14:solidFill>
          </w14:textFill>
        </w:rPr>
        <w:t>腐植酸工业协会，</w:t>
      </w:r>
      <w:r>
        <w:rPr>
          <w:rFonts w:hint="eastAsia" w:ascii="CESI仿宋-GB2312" w:hAnsi="CESI仿宋-GB2312" w:eastAsia="CESI仿宋-GB2312" w:cs="CESI仿宋-GB2312"/>
          <w:sz w:val="32"/>
          <w:szCs w:val="32"/>
        </w:rPr>
        <w:t>负责腐植酸行业的组织和管理工作，担负起政府和腐植酸企业的沟通桥梁功能</w:t>
      </w:r>
      <w:r>
        <w:rPr>
          <w:rFonts w:hint="eastAsia" w:ascii="CESI仿宋-GB2312" w:hAnsi="CESI仿宋-GB2312" w:eastAsia="CESI仿宋-GB2312" w:cs="CESI仿宋-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进一步规范产业发展，推动行业高质量发展。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二、强化政策扶持。</w:t>
      </w:r>
      <w:r>
        <w:rPr>
          <w:rFonts w:hint="eastAsia" w:ascii="CESI仿宋-GB2312" w:hAnsi="CESI仿宋-GB2312" w:eastAsia="CESI仿宋-GB2312" w:cs="CESI仿宋-GB2312"/>
          <w:sz w:val="32"/>
          <w:szCs w:val="32"/>
        </w:rPr>
        <w:t>制定《灵石县促进专业镇高质量发展实施方案》，通过市场主体倍增、技术创新改造、质量品牌提升等八条培育措施，力</w:t>
      </w:r>
      <w:r>
        <w:rPr>
          <w:rFonts w:hint="eastAsia" w:ascii="Times New Roman" w:hAnsi="Times New Roman" w:eastAsia="仿宋_GB2312" w:cs="Times New Roman"/>
          <w:b w:val="0"/>
          <w:bCs w:val="0"/>
          <w:color w:val="000000"/>
          <w:kern w:val="2"/>
          <w:sz w:val="32"/>
          <w:szCs w:val="32"/>
          <w:lang w:val="en-US" w:eastAsia="zh-CN" w:bidi="ar-SA"/>
        </w:rPr>
        <w:t xml:space="preserve">争到2025年腐植酸年产值达10亿元以上（含），规模以上企业达5户，着力打造国内重要的腐植酸生产基地和最具影响力的腐植酸产业集群。制定《灵石县推动腐殖酸产业专业镇建设十条措施》，统筹引导政策、项目、资金、人才、土地、能耗等各类资源要素向专业镇汇聚，县级重大项目和县级专项资金优先向重点专业镇倾斜。设立500万元腐植酸发展专项资金，并配套出台产业发展资金管理办法，用于支持腐植酸企业结构调整、产业升级、技术创新等发展关键领域，提高企业发展水平。为4户腐殖酸企业发放贷款近800万元。为47户腐植酸小规模纳税企业免征增值税。截至目前，相关腐殖酸企业享受税收优惠约800万元，其中，享受科技型中小企业开发新技术、新产品、新工艺发生的研究开发费用加计扣除约100万元。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三、打造品牌矩阵。</w:t>
      </w:r>
      <w:r>
        <w:rPr>
          <w:rFonts w:hint="eastAsia" w:ascii="仿宋_GB2312" w:hAnsi="仿宋_GB2312" w:eastAsia="仿宋_GB2312" w:cs="仿宋_GB2312"/>
          <w:sz w:val="32"/>
          <w:szCs w:val="32"/>
          <w:lang w:eastAsia="zh-CN"/>
        </w:rPr>
        <w:t>灵</w:t>
      </w:r>
      <w:r>
        <w:rPr>
          <w:rFonts w:hint="eastAsia" w:ascii="Times New Roman" w:hAnsi="Times New Roman" w:eastAsia="仿宋_GB2312" w:cs="Times New Roman"/>
          <w:b w:val="0"/>
          <w:bCs w:val="0"/>
          <w:color w:val="000000"/>
          <w:kern w:val="2"/>
          <w:sz w:val="32"/>
          <w:szCs w:val="32"/>
          <w:lang w:val="en-US" w:eastAsia="zh-CN" w:bidi="ar-SA"/>
        </w:rPr>
        <w:t>石县腐殖酸产业经过50多年的发展，涌现出了大千林海、滋根、叶婷等优质品牌。林海腐植酸荣获全国生物刺激素十大原料品牌、黄腐酸钾十大品牌等荣誉称号。5月下旬，县委县政府组织县内20余户腐植酸企业参展中国国际新型肥料博览会，设立全县腐植酸公共品牌展区，现场签约5户、总金额近亿元，达成意向10户、总金额2000余万元。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月底，组织5户企业参加首届山西(大同)特色专业镇投资贸易博览会，进一步</w:t>
      </w:r>
      <w:r>
        <w:rPr>
          <w:rFonts w:hint="eastAsia" w:ascii="仿宋_GB2312" w:hAnsi="仿宋_GB2312" w:eastAsia="仿宋_GB2312" w:cs="仿宋_GB2312"/>
          <w:color w:val="000000" w:themeColor="text1"/>
          <w:sz w:val="32"/>
          <w:szCs w:val="32"/>
          <w14:textFill>
            <w14:solidFill>
              <w14:schemeClr w14:val="tx1"/>
            </w14:solidFill>
          </w14:textFill>
        </w:rPr>
        <w:t>提升品牌知名度。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kern w:val="0"/>
          <w:sz w:val="32"/>
          <w:szCs w:val="32"/>
          <w:u w:val="none"/>
          <w:lang w:val="en-US" w:eastAsia="zh-CN" w:bidi="ar"/>
        </w:rPr>
      </w:pPr>
      <w:r>
        <w:rPr>
          <w:rFonts w:hint="eastAsia" w:ascii="黑体" w:hAnsi="黑体" w:eastAsia="黑体" w:cs="黑体"/>
          <w:b w:val="0"/>
          <w:bCs w:val="0"/>
          <w:sz w:val="32"/>
          <w:szCs w:val="32"/>
          <w:lang w:val="en-US" w:eastAsia="zh-CN"/>
        </w:rPr>
        <w:t>四、做好人才服务保障。</w:t>
      </w:r>
      <w:r>
        <w:rPr>
          <w:rFonts w:hint="eastAsia" w:ascii="仿宋_GB2312" w:hAnsi="仿宋_GB2312" w:eastAsia="仿宋_GB2312" w:cs="仿宋_GB2312"/>
          <w:i w:val="0"/>
          <w:caps w:val="0"/>
          <w:color w:val="000000"/>
          <w:spacing w:val="0"/>
          <w:kern w:val="0"/>
          <w:sz w:val="32"/>
          <w:szCs w:val="32"/>
          <w:u w:val="none"/>
          <w:lang w:val="en-US" w:eastAsia="zh-CN" w:bidi="ar"/>
        </w:rPr>
        <w:t>由县委县政</w:t>
      </w:r>
      <w:r>
        <w:rPr>
          <w:rFonts w:hint="eastAsia" w:ascii="Times New Roman" w:hAnsi="Times New Roman" w:eastAsia="仿宋_GB2312" w:cs="Times New Roman"/>
          <w:b w:val="0"/>
          <w:bCs w:val="0"/>
          <w:color w:val="000000"/>
          <w:kern w:val="2"/>
          <w:sz w:val="32"/>
          <w:szCs w:val="32"/>
          <w:lang w:val="en-US" w:eastAsia="zh-CN" w:bidi="ar-SA"/>
        </w:rPr>
        <w:t>府牵头，6月份组织相关部门、腐植酸企业参加灵石县县校合作暨座谈会，成功签订县校合作框架协议，并为太原理工大学科技成果转化基地、山西农大大学生实训基地等4个基地揭牌，进一步延续县校双方合作基础，加快产学研一体化发展，为腐植酸产业发展提供人才支撑和技术保障，实现科研成果与腐植酸产业发展优势互补。聚焦腐殖酸产业发展，通过外请专家授课、送教入企、送课上门等多种形式进行人才培养，专业技能培训已覆盖30余家企业，培养产业人才500余名。持续贯彻落实《灵石县建设人才强县若干举措(试行)》，人才落地后可享受团队引进、购房补助、岗位津贴等“真金白银”的硬支撑。实施人才安居保障工程，分层分类筹建人才公寓。落实领导干部联系服务专家人才制度，搭建高层次人才“一站式”服务平</w:t>
      </w:r>
      <w:r>
        <w:rPr>
          <w:rFonts w:hint="eastAsia" w:ascii="仿宋_GB2312" w:hAnsi="仿宋_GB2312" w:eastAsia="仿宋_GB2312" w:cs="仿宋_GB2312"/>
          <w:i w:val="0"/>
          <w:caps w:val="0"/>
          <w:color w:val="000000"/>
          <w:spacing w:val="0"/>
          <w:kern w:val="0"/>
          <w:sz w:val="32"/>
          <w:szCs w:val="32"/>
          <w:u w:val="none"/>
          <w:lang w:val="en-US" w:eastAsia="zh-CN" w:bidi="ar"/>
        </w:rPr>
        <w:t>台，优化完善配偶就业、子女入学、医疗服务、金融支持、文化旅游等多项服务，为人才提供“真情实意”的软服务。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（市委办信息科根据国家税务总局灵石县税务局</w:t>
      </w:r>
      <w:bookmarkStart w:id="0" w:name="_GoBack"/>
      <w:bookmarkEnd w:id="0"/>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5"/>
        <w:ind w:left="0" w:leftChars="0" w:firstLine="0" w:firstLineChars="0"/>
        <w:rPr>
          <w:rFonts w:hint="default"/>
          <w:lang w:val="en-US" w:eastAsia="zh-CN"/>
        </w:rPr>
      </w:pPr>
    </w:p>
    <w:p>
      <w:pPr>
        <w:pStyle w:val="25"/>
        <w:ind w:left="0" w:leftChars="0" w:firstLine="0" w:firstLineChars="0"/>
        <w:rPr>
          <w:rFonts w:hint="default"/>
          <w:lang w:val="en-US" w:eastAsia="zh-CN"/>
        </w:rPr>
      </w:pPr>
    </w:p>
    <w:p>
      <w:pPr>
        <w:pStyle w:val="8"/>
        <w:ind w:left="0" w:leftChars="0" w:firstLine="0" w:firstLineChars="0"/>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rPr>
          <w:rFonts w:hint="default"/>
          <w:lang w:val="en-US" w:eastAsia="zh-CN"/>
        </w:rPr>
      </w:pPr>
    </w:p>
    <w:p>
      <w:pPr>
        <w:pStyle w:val="12"/>
        <w:rPr>
          <w:rFonts w:hint="default"/>
          <w:lang w:val="en-US" w:eastAsia="zh-CN"/>
        </w:rPr>
      </w:pPr>
    </w:p>
    <w:p>
      <w:pPr>
        <w:pStyle w:val="25"/>
        <w:ind w:left="0" w:leftChars="0" w:firstLine="0" w:firstLineChars="0"/>
        <w:rPr>
          <w:rFonts w:hint="default"/>
          <w:lang w:val="en-US" w:eastAsia="zh-CN"/>
        </w:rPr>
      </w:pPr>
    </w:p>
    <w:p>
      <w:pPr>
        <w:pStyle w:val="8"/>
        <w:rPr>
          <w:rFonts w:hint="default"/>
          <w:lang w:val="en-US" w:eastAsia="zh-CN"/>
        </w:rPr>
      </w:pPr>
    </w:p>
    <w:tbl>
      <w:tblPr>
        <w:tblStyle w:val="26"/>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8"/>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8"/>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8"/>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2U3NWY5NGViYTdlODU5NjBjZGU0YmQ2MWY1Y2QifQ=="/>
  </w:docVars>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9D73678"/>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5D3E58"/>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C2D19"/>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4E7D4B"/>
    <w:rsid w:val="59846161"/>
    <w:rsid w:val="59A622BB"/>
    <w:rsid w:val="59B7C905"/>
    <w:rsid w:val="59FC3583"/>
    <w:rsid w:val="5A012DF0"/>
    <w:rsid w:val="5A6730D5"/>
    <w:rsid w:val="5A6D7A05"/>
    <w:rsid w:val="5AB34C93"/>
    <w:rsid w:val="5AC23D53"/>
    <w:rsid w:val="5AC61504"/>
    <w:rsid w:val="5AEFB2D8"/>
    <w:rsid w:val="5AF37310"/>
    <w:rsid w:val="5AFC4D8A"/>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796CF7"/>
    <w:rsid w:val="6F803F87"/>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7FFCF08"/>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7F349E"/>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94C41"/>
    <w:rsid w:val="7DFB7D86"/>
    <w:rsid w:val="7DFD0C35"/>
    <w:rsid w:val="7E0570E8"/>
    <w:rsid w:val="7E2203D8"/>
    <w:rsid w:val="7E4EAB80"/>
    <w:rsid w:val="7E61671C"/>
    <w:rsid w:val="7E723E8E"/>
    <w:rsid w:val="7E891FE1"/>
    <w:rsid w:val="7E960C43"/>
    <w:rsid w:val="7F3F42B7"/>
    <w:rsid w:val="7F47EF6F"/>
    <w:rsid w:val="7F4B3858"/>
    <w:rsid w:val="7F5D26BB"/>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E7F82"/>
    <w:rsid w:val="7FFE8E73"/>
    <w:rsid w:val="7FFF6128"/>
    <w:rsid w:val="7FFFD256"/>
    <w:rsid w:val="8AF778A6"/>
    <w:rsid w:val="8FC30C63"/>
    <w:rsid w:val="93BD0CC5"/>
    <w:rsid w:val="97F70ACF"/>
    <w:rsid w:val="9BBFBF09"/>
    <w:rsid w:val="9BBFE410"/>
    <w:rsid w:val="9BDF4DD1"/>
    <w:rsid w:val="9DA37BEE"/>
    <w:rsid w:val="9F9BEF67"/>
    <w:rsid w:val="9FADD962"/>
    <w:rsid w:val="9FFD6CE8"/>
    <w:rsid w:val="A62C0F4D"/>
    <w:rsid w:val="A8571914"/>
    <w:rsid w:val="AD7E8609"/>
    <w:rsid w:val="ADB25F1C"/>
    <w:rsid w:val="AF39A1AB"/>
    <w:rsid w:val="AF3D0D45"/>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F79C20"/>
    <w:rsid w:val="DBFB86F3"/>
    <w:rsid w:val="DBFF82A4"/>
    <w:rsid w:val="DDD74218"/>
    <w:rsid w:val="DE73C582"/>
    <w:rsid w:val="DEB92F86"/>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F341028"/>
    <w:rsid w:val="EF5BF0AF"/>
    <w:rsid w:val="EFBF416A"/>
    <w:rsid w:val="EFE434A6"/>
    <w:rsid w:val="F35BEB81"/>
    <w:rsid w:val="F3EF5C6A"/>
    <w:rsid w:val="F46157EA"/>
    <w:rsid w:val="F55E48FF"/>
    <w:rsid w:val="F55FE188"/>
    <w:rsid w:val="F5D7EF40"/>
    <w:rsid w:val="F71F9F1B"/>
    <w:rsid w:val="F7AE1A45"/>
    <w:rsid w:val="F7E136DA"/>
    <w:rsid w:val="F7F5C5BA"/>
    <w:rsid w:val="F7FF768D"/>
    <w:rsid w:val="FAAD3D59"/>
    <w:rsid w:val="FB2D5865"/>
    <w:rsid w:val="FB37EAAA"/>
    <w:rsid w:val="FBA308BF"/>
    <w:rsid w:val="FBBCDD95"/>
    <w:rsid w:val="FBCB9C12"/>
    <w:rsid w:val="FBF70997"/>
    <w:rsid w:val="FBFEC364"/>
    <w:rsid w:val="FD2BF41F"/>
    <w:rsid w:val="FD7AAA50"/>
    <w:rsid w:val="FD7F6E77"/>
    <w:rsid w:val="FDB63DCD"/>
    <w:rsid w:val="FDF70306"/>
    <w:rsid w:val="FE8F9B0E"/>
    <w:rsid w:val="FE9FA3F1"/>
    <w:rsid w:val="FEA51137"/>
    <w:rsid w:val="FED28B81"/>
    <w:rsid w:val="FEDE2FD8"/>
    <w:rsid w:val="FEEF835A"/>
    <w:rsid w:val="FEEFE2EA"/>
    <w:rsid w:val="FF3D1875"/>
    <w:rsid w:val="FF5AE58E"/>
    <w:rsid w:val="FF6F594E"/>
    <w:rsid w:val="FF7D4E2F"/>
    <w:rsid w:val="FF7FE418"/>
    <w:rsid w:val="FFAF6A32"/>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7">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420" w:firstLineChars="200"/>
    </w:pPr>
  </w:style>
  <w:style w:type="paragraph" w:customStyle="1" w:styleId="3">
    <w:name w:val="正文文本缩进1"/>
    <w:basedOn w:val="1"/>
    <w:next w:val="1"/>
    <w:qFormat/>
    <w:uiPriority w:val="0"/>
    <w:pPr>
      <w:spacing w:after="120" w:afterLines="0" w:afterAutospacing="0"/>
      <w:ind w:left="420" w:leftChars="200"/>
    </w:pPr>
  </w:style>
  <w:style w:type="paragraph" w:styleId="4">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Note Heading"/>
    <w:basedOn w:val="1"/>
    <w:next w:val="1"/>
    <w:qFormat/>
    <w:uiPriority w:val="99"/>
    <w:pPr>
      <w:jc w:val="center"/>
    </w:pPr>
  </w:style>
  <w:style w:type="paragraph" w:styleId="8">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9">
    <w:name w:val="caption"/>
    <w:basedOn w:val="1"/>
    <w:next w:val="1"/>
    <w:unhideWhenUsed/>
    <w:qFormat/>
    <w:locked/>
    <w:uiPriority w:val="0"/>
    <w:rPr>
      <w:rFonts w:ascii="Cambria" w:hAnsi="Cambria" w:eastAsia="黑体"/>
      <w:kern w:val="2"/>
      <w:sz w:val="20"/>
      <w:szCs w:val="24"/>
    </w:rPr>
  </w:style>
  <w:style w:type="paragraph" w:styleId="10">
    <w:name w:val="Document Map"/>
    <w:basedOn w:val="1"/>
    <w:link w:val="38"/>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eastAsia="宋体" w:cs="Times New Roman"/>
      <w:sz w:val="24"/>
      <w:szCs w:val="20"/>
    </w:rPr>
  </w:style>
  <w:style w:type="paragraph" w:styleId="12">
    <w:name w:val="Body Text"/>
    <w:basedOn w:val="1"/>
    <w:next w:val="1"/>
    <w:qFormat/>
    <w:uiPriority w:val="0"/>
    <w:pPr>
      <w:spacing w:after="120" w:afterLines="0" w:afterAutospacing="0"/>
    </w:pPr>
  </w:style>
  <w:style w:type="paragraph" w:styleId="13">
    <w:name w:val="Body Text Indent"/>
    <w:basedOn w:val="1"/>
    <w:next w:val="1"/>
    <w:semiHidden/>
    <w:unhideWhenUsed/>
    <w:qFormat/>
    <w:uiPriority w:val="99"/>
    <w:pPr>
      <w:spacing w:after="120" w:afterLines="0" w:afterAutospacing="0"/>
      <w:ind w:left="420" w:leftChars="200"/>
    </w:pPr>
  </w:style>
  <w:style w:type="paragraph" w:styleId="14">
    <w:name w:val="Block Text"/>
    <w:basedOn w:val="1"/>
    <w:next w:val="12"/>
    <w:qFormat/>
    <w:uiPriority w:val="0"/>
    <w:pPr>
      <w:widowControl w:val="0"/>
      <w:jc w:val="both"/>
    </w:pPr>
    <w:rPr>
      <w:rFonts w:ascii="Calibri" w:hAnsi="Calibri" w:eastAsia="宋体" w:cs="Arial"/>
      <w:kern w:val="2"/>
      <w:sz w:val="21"/>
      <w:szCs w:val="24"/>
      <w:lang w:val="en-US" w:eastAsia="zh-CN" w:bidi="ar-SA"/>
    </w:rPr>
  </w:style>
  <w:style w:type="paragraph" w:styleId="15">
    <w:name w:val="Plain Text"/>
    <w:basedOn w:val="1"/>
    <w:next w:val="16"/>
    <w:link w:val="51"/>
    <w:qFormat/>
    <w:uiPriority w:val="99"/>
    <w:rPr>
      <w:rFonts w:ascii="宋体" w:hAnsi="Courier New" w:cs="Courier New"/>
      <w:szCs w:val="21"/>
    </w:rPr>
  </w:style>
  <w:style w:type="paragraph" w:styleId="16">
    <w:name w:val="Body Text First Indent 2"/>
    <w:basedOn w:val="13"/>
    <w:semiHidden/>
    <w:unhideWhenUsed/>
    <w:qFormat/>
    <w:uiPriority w:val="99"/>
    <w:pPr>
      <w:ind w:firstLine="420" w:firstLineChars="200"/>
    </w:pPr>
  </w:style>
  <w:style w:type="paragraph" w:styleId="17">
    <w:name w:val="Balloon Text"/>
    <w:basedOn w:val="1"/>
    <w:link w:val="39"/>
    <w:qFormat/>
    <w:uiPriority w:val="99"/>
    <w:rPr>
      <w:sz w:val="18"/>
      <w:szCs w:val="18"/>
    </w:rPr>
  </w:style>
  <w:style w:type="paragraph" w:styleId="18">
    <w:name w:val="footer"/>
    <w:basedOn w:val="1"/>
    <w:next w:val="19"/>
    <w:link w:val="40"/>
    <w:qFormat/>
    <w:uiPriority w:val="99"/>
    <w:pPr>
      <w:tabs>
        <w:tab w:val="center" w:pos="4153"/>
        <w:tab w:val="right" w:pos="8306"/>
      </w:tabs>
      <w:snapToGrid w:val="0"/>
      <w:jc w:val="left"/>
    </w:pPr>
    <w:rPr>
      <w:sz w:val="18"/>
      <w:szCs w:val="18"/>
    </w:rPr>
  </w:style>
  <w:style w:type="paragraph" w:customStyle="1" w:styleId="19">
    <w:name w:val="UserStyle_0"/>
    <w:basedOn w:val="20"/>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20">
    <w:name w:val="UserStyle_1"/>
    <w:basedOn w:val="1"/>
    <w:next w:val="1"/>
    <w:qFormat/>
    <w:uiPriority w:val="0"/>
    <w:pPr>
      <w:ind w:left="200" w:leftChars="200"/>
      <w:jc w:val="both"/>
      <w:textAlignment w:val="baseline"/>
    </w:pPr>
  </w:style>
  <w:style w:type="paragraph" w:styleId="21">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22">
    <w:name w:val="toc 2"/>
    <w:basedOn w:val="1"/>
    <w:next w:val="1"/>
    <w:qFormat/>
    <w:locked/>
    <w:uiPriority w:val="0"/>
    <w:pPr>
      <w:ind w:left="420" w:leftChars="200"/>
    </w:pPr>
    <w:rPr>
      <w:rFonts w:ascii="宋体" w:hAnsi="宋体" w:cs="楷体"/>
      <w:b/>
      <w:sz w:val="28"/>
      <w:szCs w:val="28"/>
      <w:shd w:val="clear" w:color="auto" w:fill="FFFFFF"/>
    </w:rPr>
  </w:style>
  <w:style w:type="paragraph" w:styleId="23">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Title"/>
    <w:basedOn w:val="1"/>
    <w:next w:val="1"/>
    <w:qFormat/>
    <w:locked/>
    <w:uiPriority w:val="0"/>
    <w:pPr>
      <w:jc w:val="center"/>
      <w:outlineLvl w:val="0"/>
    </w:pPr>
    <w:rPr>
      <w:rFonts w:ascii="Arial" w:hAnsi="Arial" w:eastAsia="宋体" w:cs="Arial"/>
      <w:b/>
      <w:bCs/>
      <w:sz w:val="32"/>
      <w:szCs w:val="32"/>
    </w:rPr>
  </w:style>
  <w:style w:type="paragraph" w:styleId="25">
    <w:name w:val="Body Text First Indent"/>
    <w:basedOn w:val="12"/>
    <w:next w:val="8"/>
    <w:qFormat/>
    <w:uiPriority w:val="0"/>
    <w:pPr>
      <w:ind w:firstLine="420" w:firstLineChars="100"/>
    </w:pPr>
  </w:style>
  <w:style w:type="character" w:styleId="28">
    <w:name w:val="Strong"/>
    <w:basedOn w:val="27"/>
    <w:qFormat/>
    <w:uiPriority w:val="99"/>
    <w:rPr>
      <w:rFonts w:cs="Times New Roman"/>
      <w:b/>
    </w:rPr>
  </w:style>
  <w:style w:type="character" w:styleId="29">
    <w:name w:val="page number"/>
    <w:basedOn w:val="27"/>
    <w:qFormat/>
    <w:uiPriority w:val="0"/>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5"/>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7"/>
    <w:link w:val="5"/>
    <w:qFormat/>
    <w:locked/>
    <w:uiPriority w:val="99"/>
    <w:rPr>
      <w:rFonts w:ascii="宋体" w:hAnsi="宋体" w:eastAsia="宋体" w:cs="宋体"/>
      <w:b/>
      <w:bCs/>
      <w:kern w:val="36"/>
      <w:sz w:val="48"/>
      <w:szCs w:val="48"/>
    </w:rPr>
  </w:style>
  <w:style w:type="character" w:customStyle="1" w:styleId="37">
    <w:name w:val="Heading 2 Char"/>
    <w:basedOn w:val="27"/>
    <w:link w:val="6"/>
    <w:semiHidden/>
    <w:qFormat/>
    <w:locked/>
    <w:uiPriority w:val="99"/>
    <w:rPr>
      <w:rFonts w:ascii="Cambria" w:hAnsi="Cambria" w:eastAsia="宋体" w:cs="Times New Roman"/>
      <w:b/>
      <w:bCs/>
      <w:sz w:val="32"/>
      <w:szCs w:val="32"/>
    </w:rPr>
  </w:style>
  <w:style w:type="character" w:customStyle="1" w:styleId="38">
    <w:name w:val="Document Map Char"/>
    <w:basedOn w:val="27"/>
    <w:link w:val="10"/>
    <w:semiHidden/>
    <w:qFormat/>
    <w:locked/>
    <w:uiPriority w:val="99"/>
    <w:rPr>
      <w:rFonts w:ascii="宋体" w:hAnsi="Calibri" w:eastAsia="宋体" w:cs="Times New Roman"/>
      <w:sz w:val="18"/>
      <w:szCs w:val="18"/>
    </w:rPr>
  </w:style>
  <w:style w:type="character" w:customStyle="1" w:styleId="39">
    <w:name w:val="Balloon Text Char"/>
    <w:basedOn w:val="27"/>
    <w:link w:val="17"/>
    <w:semiHidden/>
    <w:qFormat/>
    <w:locked/>
    <w:uiPriority w:val="99"/>
    <w:rPr>
      <w:rFonts w:ascii="Calibri" w:hAnsi="Calibri" w:eastAsia="宋体" w:cs="Times New Roman"/>
      <w:sz w:val="18"/>
      <w:szCs w:val="18"/>
    </w:rPr>
  </w:style>
  <w:style w:type="character" w:customStyle="1" w:styleId="40">
    <w:name w:val="Footer Char"/>
    <w:basedOn w:val="27"/>
    <w:link w:val="18"/>
    <w:qFormat/>
    <w:locked/>
    <w:uiPriority w:val="99"/>
    <w:rPr>
      <w:rFonts w:cs="Times New Roman"/>
      <w:sz w:val="18"/>
      <w:szCs w:val="18"/>
    </w:rPr>
  </w:style>
  <w:style w:type="character" w:customStyle="1" w:styleId="41">
    <w:name w:val="Header Char"/>
    <w:basedOn w:val="27"/>
    <w:link w:val="21"/>
    <w:semiHidden/>
    <w:qFormat/>
    <w:locked/>
    <w:uiPriority w:val="99"/>
    <w:rPr>
      <w:rFonts w:cs="Times New Roman"/>
      <w:sz w:val="18"/>
      <w:szCs w:val="18"/>
    </w:rPr>
  </w:style>
  <w:style w:type="character" w:customStyle="1" w:styleId="42">
    <w:name w:val="HTML Preformatted Char"/>
    <w:basedOn w:val="27"/>
    <w:link w:val="23"/>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7"/>
    <w:qFormat/>
    <w:uiPriority w:val="99"/>
    <w:rPr>
      <w:rFonts w:cs="Times New Roman"/>
    </w:rPr>
  </w:style>
  <w:style w:type="paragraph" w:customStyle="1" w:styleId="46">
    <w:name w:val="Char"/>
    <w:basedOn w:val="10"/>
    <w:qFormat/>
    <w:uiPriority w:val="99"/>
    <w:pPr>
      <w:shd w:val="clear" w:color="auto" w:fill="000080"/>
    </w:pPr>
    <w:rPr>
      <w:rFonts w:ascii="Tahoma" w:hAnsi="Tahoma"/>
      <w:sz w:val="24"/>
      <w:szCs w:val="24"/>
    </w:rPr>
  </w:style>
  <w:style w:type="character" w:customStyle="1" w:styleId="47">
    <w:name w:val="15"/>
    <w:basedOn w:val="27"/>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7"/>
    <w:link w:val="15"/>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5"/>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9"/>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2017-12-31T23:05:00Z</dcterms:created>
  <dc:creator>User</dc:creator>
  <cp:lastModifiedBy>baixin</cp:lastModifiedBy>
  <cp:lastPrinted>2023-03-06T09:03:00Z</cp:lastPrinted>
  <dcterms:modified xsi:type="dcterms:W3CDTF">2023-10-17T17:48:06Z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63BE0669FF6947C49F6F13A3D446FAED_13</vt:lpwstr>
  </property>
</Properties>
</file>